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7CF6" w14:textId="77777777" w:rsidR="00D8753B" w:rsidRDefault="00076037">
      <w:pPr>
        <w:pStyle w:val="Heading1"/>
      </w:pPr>
      <w:bookmarkStart w:id="0" w:name="_vb13qykf1v2q" w:colFirst="0" w:colLast="0"/>
      <w:bookmarkEnd w:id="0"/>
      <w:r>
        <w:t>Publishing IATI data for Team Europe Initiatives (TEI)</w:t>
      </w:r>
    </w:p>
    <w:p w14:paraId="2D96D1BE" w14:textId="77777777" w:rsidR="00D8753B" w:rsidRDefault="00076037">
      <w:r>
        <w:t>Draft guidance</w:t>
      </w:r>
    </w:p>
    <w:p w14:paraId="0DF940D7" w14:textId="72628643" w:rsidR="00D8753B" w:rsidRDefault="001F5189">
      <w:r>
        <w:t>1</w:t>
      </w:r>
      <w:r w:rsidR="005E11F1">
        <w:t>4</w:t>
      </w:r>
      <w:r w:rsidR="00BA1C52">
        <w:t xml:space="preserve"> </w:t>
      </w:r>
      <w:r w:rsidR="00340E3D">
        <w:t>February</w:t>
      </w:r>
      <w:r w:rsidR="00076037">
        <w:t xml:space="preserve"> 202</w:t>
      </w:r>
      <w:r>
        <w:t>3</w:t>
      </w:r>
    </w:p>
    <w:p w14:paraId="2E393147" w14:textId="77777777" w:rsidR="00D8753B" w:rsidRDefault="00D8753B"/>
    <w:p w14:paraId="63243AF8" w14:textId="77777777" w:rsidR="00D8753B" w:rsidRDefault="00D8753B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8753B" w14:paraId="393B11C9" w14:textId="77777777">
        <w:tc>
          <w:tcPr>
            <w:tcW w:w="902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358D" w14:textId="7B1E7C1E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the IATI standard, using the </w:t>
            </w:r>
            <w:r>
              <w:rPr>
                <w:b/>
              </w:rPr>
              <w:t>tag</w:t>
            </w:r>
            <w:r>
              <w:t xml:space="preserve"> field to indicate a link to a Team Europe Initiative will enable precision and confidence.</w:t>
            </w:r>
          </w:p>
          <w:p w14:paraId="49CE4CEC" w14:textId="77777777" w:rsidR="00D8753B" w:rsidRDefault="00D87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69C664" w14:textId="63547C47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do this, Team Europe</w:t>
            </w:r>
            <w:r w:rsidR="00434EA7">
              <w:rPr>
                <w:rStyle w:val="FootnoteReference"/>
              </w:rPr>
              <w:footnoteReference w:id="1"/>
            </w:r>
            <w:r>
              <w:t xml:space="preserve"> </w:t>
            </w:r>
            <w:r w:rsidR="00434EA7">
              <w:t>reporters</w:t>
            </w:r>
            <w:r>
              <w:t xml:space="preserve"> will be able to access a “code list” of all the TEIs.</w:t>
            </w:r>
          </w:p>
          <w:p w14:paraId="16EC96D7" w14:textId="77777777" w:rsidR="00D8753B" w:rsidRDefault="00D87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63658A" w14:textId="1B86EFAB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paper provides guidance on the methodology to tag an IATI activity, alongside some Frequently Asked Questions.</w:t>
            </w:r>
          </w:p>
        </w:tc>
      </w:tr>
    </w:tbl>
    <w:p w14:paraId="2A261DC5" w14:textId="77777777" w:rsidR="00D8753B" w:rsidRDefault="00D8753B"/>
    <w:p w14:paraId="1350C890" w14:textId="77777777" w:rsidR="00D8753B" w:rsidRDefault="00076037">
      <w:pPr>
        <w:pStyle w:val="Heading2"/>
      </w:pPr>
      <w:bookmarkStart w:id="1" w:name="_v2cdshagbogz" w:colFirst="0" w:colLast="0"/>
      <w:bookmarkEnd w:id="1"/>
      <w:r>
        <w:t>Overview</w:t>
      </w:r>
    </w:p>
    <w:p w14:paraId="1D2B066B" w14:textId="253AE4F6" w:rsidR="00D8753B" w:rsidRDefault="00076037">
      <w:r>
        <w:t>This document provides guidance for publishers of IATI data, in terms of how to flag and identify activities that are linked to Team Europe Initiatives (TEIs).</w:t>
      </w:r>
    </w:p>
    <w:p w14:paraId="16A20300" w14:textId="77777777" w:rsidR="00D8753B" w:rsidRDefault="00D8753B"/>
    <w:p w14:paraId="6059DF74" w14:textId="77777777" w:rsidR="00D8753B" w:rsidRDefault="00076037">
      <w:pPr>
        <w:pStyle w:val="Heading2"/>
      </w:pPr>
      <w:bookmarkStart w:id="2" w:name="_cii448i9ixlb" w:colFirst="0" w:colLast="0"/>
      <w:bookmarkEnd w:id="2"/>
      <w:r>
        <w:t>IATI activities &amp; TEIs</w:t>
      </w:r>
    </w:p>
    <w:p w14:paraId="72DE57C7" w14:textId="6116D551" w:rsidR="00D8753B" w:rsidRDefault="00076037">
      <w:r>
        <w:t xml:space="preserve">Organisations that publish IATI data do so principally through the units known as </w:t>
      </w:r>
      <w:r>
        <w:rPr>
          <w:i/>
        </w:rPr>
        <w:t>activities</w:t>
      </w:r>
      <w:r>
        <w:t xml:space="preserve">. An activity can represent </w:t>
      </w:r>
      <w:proofErr w:type="gramStart"/>
      <w:r>
        <w:t>various different</w:t>
      </w:r>
      <w:proofErr w:type="gramEnd"/>
      <w:r>
        <w:t xml:space="preserve"> units of aid, including a specific contract, project or a wide programme.</w:t>
      </w:r>
    </w:p>
    <w:p w14:paraId="56DA6A0C" w14:textId="77777777" w:rsidR="00D8753B" w:rsidRDefault="00D8753B"/>
    <w:p w14:paraId="142338D6" w14:textId="0C1074B8" w:rsidR="00D8753B" w:rsidRDefault="00076037">
      <w:r>
        <w:t xml:space="preserve">TEIs can be considered as a </w:t>
      </w:r>
      <w:r>
        <w:rPr>
          <w:i/>
        </w:rPr>
        <w:t>collection</w:t>
      </w:r>
      <w:r>
        <w:t xml:space="preserve"> of activities, from a range of different actors, sharing a common goal and purpose. These can be new or pre-existing activities, dedicated to a specific TEI</w:t>
      </w:r>
      <w:r w:rsidR="005E0137">
        <w:t xml:space="preserve"> and its Joint Intervention Logic</w:t>
      </w:r>
      <w:r>
        <w:t>.</w:t>
      </w:r>
    </w:p>
    <w:p w14:paraId="2648217E" w14:textId="77777777" w:rsidR="00D8753B" w:rsidRDefault="00D8753B"/>
    <w:p w14:paraId="383997A5" w14:textId="26908809" w:rsidR="00D8753B" w:rsidRDefault="00076037">
      <w:r>
        <w:t>A core component of any IATI activity is financial data, including the amount of money that has been committed and spent to date.</w:t>
      </w:r>
    </w:p>
    <w:p w14:paraId="147B699D" w14:textId="77777777" w:rsidR="00D8753B" w:rsidRDefault="00D8753B"/>
    <w:p w14:paraId="5D8F6940" w14:textId="18A80DA3" w:rsidR="00D8753B" w:rsidRDefault="00076037">
      <w:r>
        <w:t xml:space="preserve">A key metric for understanding the progress of any TEI is also financial data. Hence, IATI activities, and their associated transactions, can be of </w:t>
      </w:r>
      <w:r>
        <w:rPr>
          <w:i/>
        </w:rPr>
        <w:t>assistance</w:t>
      </w:r>
      <w:r>
        <w:t xml:space="preserve"> to comprehending the fiscal progress of TEI</w:t>
      </w:r>
      <w:r w:rsidR="00434EA7">
        <w:t>s</w:t>
      </w:r>
      <w:r>
        <w:t>, alongside other sources.</w:t>
      </w:r>
    </w:p>
    <w:p w14:paraId="61C5A573" w14:textId="77777777" w:rsidR="00D8753B" w:rsidRDefault="00D8753B"/>
    <w:p w14:paraId="76690783" w14:textId="77777777" w:rsidR="00D8753B" w:rsidRDefault="00076037">
      <w:pPr>
        <w:pStyle w:val="Heading2"/>
      </w:pPr>
      <w:bookmarkStart w:id="3" w:name="_2ttxvj58vc4p" w:colFirst="0" w:colLast="0"/>
      <w:bookmarkEnd w:id="3"/>
      <w:r>
        <w:br w:type="page"/>
      </w:r>
    </w:p>
    <w:p w14:paraId="36522B85" w14:textId="77777777" w:rsidR="00D8753B" w:rsidRDefault="00076037">
      <w:pPr>
        <w:pStyle w:val="Heading2"/>
      </w:pPr>
      <w:bookmarkStart w:id="4" w:name="_q84wwpt0c9ut" w:colFirst="0" w:colLast="0"/>
      <w:bookmarkEnd w:id="4"/>
      <w:r>
        <w:lastRenderedPageBreak/>
        <w:t>Flagging IATI activities for a TEI: using the IATI tag</w:t>
      </w:r>
    </w:p>
    <w:p w14:paraId="095C5BC5" w14:textId="1BCCFAF4" w:rsidR="00D8753B" w:rsidRDefault="00076037">
      <w:r>
        <w:t>Any IATI activity will usually have a range of classifications and codes in place to indicate its modality, scope, geography and sectoral themes.</w:t>
      </w:r>
    </w:p>
    <w:p w14:paraId="37394EDD" w14:textId="77777777" w:rsidR="00D8753B" w:rsidRDefault="00D8753B"/>
    <w:p w14:paraId="2C9333E7" w14:textId="43875807" w:rsidR="00D8753B" w:rsidRDefault="00076037">
      <w:r>
        <w:t>The IATI standard has a data field call</w:t>
      </w:r>
      <w:r w:rsidR="00BA73AE">
        <w:t>ed</w:t>
      </w:r>
      <w:r>
        <w:t xml:space="preserve"> </w:t>
      </w:r>
      <w:r>
        <w:rPr>
          <w:b/>
        </w:rPr>
        <w:t>tag</w:t>
      </w:r>
      <w:r>
        <w:t xml:space="preserve">, which enables for inclusion of </w:t>
      </w:r>
      <w:r>
        <w:rPr>
          <w:i/>
        </w:rPr>
        <w:t xml:space="preserve">non-statistical </w:t>
      </w:r>
      <w:r>
        <w:t>classifications in any activity. For the purposes of the TEI</w:t>
      </w:r>
      <w:r w:rsidR="002A0255">
        <w:t>s</w:t>
      </w:r>
      <w:r>
        <w:t>, the principal way to relate any IATI activity will be through use of the tag.</w:t>
      </w:r>
    </w:p>
    <w:p w14:paraId="263AE090" w14:textId="77777777" w:rsidR="00D8753B" w:rsidRDefault="00D8753B"/>
    <w:p w14:paraId="3BC5BE44" w14:textId="77777777" w:rsidR="00D8753B" w:rsidRDefault="00076037">
      <w:pPr>
        <w:pStyle w:val="Heading2"/>
      </w:pPr>
      <w:bookmarkStart w:id="5" w:name="_5gs8dtrldl64" w:colFirst="0" w:colLast="0"/>
      <w:bookmarkEnd w:id="5"/>
      <w:r>
        <w:t>Tag vocabularies</w:t>
      </w:r>
    </w:p>
    <w:p w14:paraId="2C211B42" w14:textId="77777777" w:rsidR="00D8753B" w:rsidRDefault="00076037">
      <w:r>
        <w:t>The IATI standard allows for organisations to include a tag in two ways:</w:t>
      </w:r>
    </w:p>
    <w:p w14:paraId="0D1F83AE" w14:textId="77777777" w:rsidR="00D8753B" w:rsidRDefault="00D8753B"/>
    <w:p w14:paraId="0D0B4F61" w14:textId="77777777" w:rsidR="00D8753B" w:rsidRDefault="00076037">
      <w:pPr>
        <w:numPr>
          <w:ilvl w:val="0"/>
          <w:numId w:val="3"/>
        </w:numPr>
      </w:pPr>
      <w:r>
        <w:t>Using tags that are already on a published and shared list</w:t>
      </w:r>
    </w:p>
    <w:p w14:paraId="05F0F350" w14:textId="77777777" w:rsidR="00D8753B" w:rsidRDefault="00076037">
      <w:pPr>
        <w:numPr>
          <w:ilvl w:val="0"/>
          <w:numId w:val="3"/>
        </w:numPr>
      </w:pPr>
      <w:r>
        <w:t>Using tags that are internal to the publishing organisation</w:t>
      </w:r>
    </w:p>
    <w:p w14:paraId="07B30AF3" w14:textId="77777777" w:rsidR="00D8753B" w:rsidRDefault="00D8753B"/>
    <w:p w14:paraId="7AB7B94E" w14:textId="156BC8BC" w:rsidR="00D8753B" w:rsidRDefault="00076037">
      <w:r>
        <w:t>In both these cases, the IATI publisher must declare a vocabulary from which the tag is drawn. For internal tags a 99 (or 98) vocabulary is used. For shared vocabularies, a dedicated number is assigned by the IATI secretariat.</w:t>
      </w:r>
    </w:p>
    <w:p w14:paraId="754CEBE7" w14:textId="77777777" w:rsidR="00D8753B" w:rsidRDefault="00D8753B"/>
    <w:p w14:paraId="230305D0" w14:textId="7861C58C" w:rsidR="00D8753B" w:rsidRPr="007114BB" w:rsidRDefault="00076037">
      <w:pPr>
        <w:rPr>
          <w:bCs/>
        </w:rPr>
      </w:pPr>
      <w:r>
        <w:t>In the case of the TEI</w:t>
      </w:r>
      <w:r w:rsidR="00EB079B">
        <w:t>s</w:t>
      </w:r>
      <w:r>
        <w:t xml:space="preserve">, a shared vocabulary will be employed, so that </w:t>
      </w:r>
      <w:r w:rsidR="00D31585">
        <w:t xml:space="preserve">Team Europe reporters </w:t>
      </w:r>
      <w:r>
        <w:t xml:space="preserve">can have commonality. Hence, a list of TEI tags will be published and made available via the </w:t>
      </w:r>
      <w:hyperlink r:id="rId8">
        <w:r>
          <w:rPr>
            <w:color w:val="1155CC"/>
            <w:u w:val="single"/>
          </w:rPr>
          <w:t xml:space="preserve">IATI Tag Vocabulary </w:t>
        </w:r>
        <w:proofErr w:type="spellStart"/>
        <w:r>
          <w:rPr>
            <w:color w:val="1155CC"/>
            <w:u w:val="single"/>
          </w:rPr>
          <w:t>Codelist</w:t>
        </w:r>
        <w:proofErr w:type="spellEnd"/>
      </w:hyperlink>
      <w:r>
        <w:t xml:space="preserve">. </w:t>
      </w:r>
      <w:r w:rsidR="007114BB" w:rsidRPr="007114BB">
        <w:rPr>
          <w:bCs/>
        </w:rPr>
        <w:t xml:space="preserve">It is likely that the TEI </w:t>
      </w:r>
      <w:r w:rsidR="00D31585">
        <w:rPr>
          <w:bCs/>
        </w:rPr>
        <w:t xml:space="preserve">code </w:t>
      </w:r>
      <w:r w:rsidR="007114BB" w:rsidRPr="007114BB">
        <w:rPr>
          <w:bCs/>
        </w:rPr>
        <w:t>list would be identified through the next-available vocabulary code number: 4.</w:t>
      </w:r>
    </w:p>
    <w:p w14:paraId="4602D102" w14:textId="77777777" w:rsidR="00D8753B" w:rsidRDefault="00D8753B"/>
    <w:p w14:paraId="75190866" w14:textId="77777777" w:rsidR="00D8753B" w:rsidRDefault="00076037">
      <w:pPr>
        <w:pStyle w:val="Heading2"/>
      </w:pPr>
      <w:bookmarkStart w:id="6" w:name="_vnvfotsctzq9" w:colFirst="0" w:colLast="0"/>
      <w:bookmarkEnd w:id="6"/>
      <w:r>
        <w:t>The TEI code list</w:t>
      </w:r>
    </w:p>
    <w:p w14:paraId="5C64269E" w14:textId="4C585236" w:rsidR="00D8753B" w:rsidRDefault="00076037">
      <w:r>
        <w:t xml:space="preserve">To assist Team Europe </w:t>
      </w:r>
      <w:r w:rsidR="007F7572">
        <w:t>reporters</w:t>
      </w:r>
      <w:r>
        <w:t>, a list of all TEIs will be published.</w:t>
      </w:r>
    </w:p>
    <w:p w14:paraId="092A5517" w14:textId="77777777" w:rsidR="00D8753B" w:rsidRDefault="00D8753B"/>
    <w:p w14:paraId="380F1717" w14:textId="50E9AFC3" w:rsidR="00D8753B" w:rsidRDefault="00076037">
      <w:r>
        <w:t xml:space="preserve">This list </w:t>
      </w:r>
      <w:r w:rsidR="007114BB">
        <w:t>is</w:t>
      </w:r>
      <w:r>
        <w:t xml:space="preserve"> the </w:t>
      </w:r>
      <w:r>
        <w:rPr>
          <w:b/>
        </w:rPr>
        <w:t>comprehensive</w:t>
      </w:r>
      <w:r>
        <w:t xml:space="preserve"> and </w:t>
      </w:r>
      <w:r>
        <w:rPr>
          <w:b/>
        </w:rPr>
        <w:t>authoritative</w:t>
      </w:r>
      <w:r>
        <w:t xml:space="preserve"> source on all </w:t>
      </w:r>
      <w:r w:rsidR="0026024C">
        <w:t>TEIs and</w:t>
      </w:r>
      <w:r>
        <w:t xml:space="preserve"> </w:t>
      </w:r>
      <w:r w:rsidR="007114BB">
        <w:t xml:space="preserve">is </w:t>
      </w:r>
      <w:r>
        <w:t>be</w:t>
      </w:r>
      <w:r w:rsidR="007114BB">
        <w:t>ing</w:t>
      </w:r>
      <w:r>
        <w:t xml:space="preserve"> managed by the European Commission (EC).</w:t>
      </w:r>
    </w:p>
    <w:p w14:paraId="35F5AEFD" w14:textId="77777777" w:rsidR="00D8753B" w:rsidRDefault="00D8753B"/>
    <w:p w14:paraId="2D46ED63" w14:textId="73571447" w:rsidR="00D8753B" w:rsidRDefault="00076037">
      <w:r>
        <w:t>Each entry on this code list include</w:t>
      </w:r>
      <w:r w:rsidR="007114BB">
        <w:t>s</w:t>
      </w:r>
      <w:r>
        <w:t xml:space="preserve"> the following:</w:t>
      </w:r>
    </w:p>
    <w:p w14:paraId="150DC1C3" w14:textId="77777777" w:rsidR="00D8753B" w:rsidRDefault="00D8753B"/>
    <w:tbl>
      <w:tblPr>
        <w:tblStyle w:val="a0"/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10"/>
        <w:gridCol w:w="2948"/>
      </w:tblGrid>
      <w:tr w:rsidR="00D8753B" w14:paraId="3E110C31" w14:textId="77777777" w:rsidTr="006E4719">
        <w:tc>
          <w:tcPr>
            <w:tcW w:w="306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24AA" w14:textId="77777777" w:rsidR="00D8753B" w:rsidRPr="006E4719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E4719">
              <w:rPr>
                <w:b/>
              </w:rPr>
              <w:t>Data field</w:t>
            </w:r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6AE4" w14:textId="77777777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94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A48F" w14:textId="77777777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D8753B" w14:paraId="1FF1CD30" w14:textId="77777777" w:rsidTr="006E4719">
        <w:tc>
          <w:tcPr>
            <w:tcW w:w="3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9296" w14:textId="4C66B1D4" w:rsidR="00D8753B" w:rsidRPr="006E4719" w:rsidRDefault="001F5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076037" w:rsidRPr="006E4719">
              <w:rPr>
                <w:b/>
              </w:rPr>
              <w:t>ode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55B7" w14:textId="62DF110F" w:rsidR="00D8753B" w:rsidRDefault="005E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</w:t>
            </w:r>
            <w:r w:rsidR="00076037">
              <w:t>nique code for this TEI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236D" w14:textId="383B091C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TEI0</w:t>
            </w:r>
            <w:r w:rsidR="00DC2D58">
              <w:t>48</w:t>
            </w:r>
          </w:p>
        </w:tc>
      </w:tr>
      <w:tr w:rsidR="00D8753B" w14:paraId="40E1865D" w14:textId="77777777" w:rsidTr="006E4719">
        <w:tc>
          <w:tcPr>
            <w:tcW w:w="3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5717" w14:textId="0E235DED" w:rsidR="00D8753B" w:rsidRPr="006E4719" w:rsidRDefault="001F5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T</w:t>
            </w:r>
            <w:r w:rsidR="00DC2D58" w:rsidRPr="006E4719">
              <w:rPr>
                <w:b/>
                <w:iCs/>
              </w:rPr>
              <w:t>itle</w:t>
            </w:r>
            <w:r w:rsidR="00280A54">
              <w:rPr>
                <w:b/>
                <w:iCs/>
              </w:rPr>
              <w:t xml:space="preserve"> EN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FF06" w14:textId="6EBE7B15" w:rsidR="00D8753B" w:rsidRPr="00DC2D58" w:rsidRDefault="0028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</w:rPr>
            </w:pPr>
            <w:r>
              <w:rPr>
                <w:iCs/>
              </w:rPr>
              <w:t>T</w:t>
            </w:r>
            <w:r w:rsidR="00DC2D58" w:rsidRPr="00DC2D58">
              <w:rPr>
                <w:iCs/>
              </w:rPr>
              <w:t>itle of this TEI</w:t>
            </w:r>
            <w:r>
              <w:rPr>
                <w:iCs/>
              </w:rPr>
              <w:t xml:space="preserve"> in English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51B5" w14:textId="7FE3B3C9" w:rsidR="00D8753B" w:rsidRPr="00DC2D58" w:rsidRDefault="00DC2D58">
            <w:pPr>
              <w:widowControl w:val="0"/>
              <w:spacing w:line="240" w:lineRule="auto"/>
              <w:rPr>
                <w:iCs/>
              </w:rPr>
            </w:pPr>
            <w:r w:rsidRPr="00DC2D58">
              <w:rPr>
                <w:iCs/>
              </w:rPr>
              <w:t>Green Deal — Renewable energy and sustainable energy</w:t>
            </w:r>
          </w:p>
        </w:tc>
      </w:tr>
      <w:tr w:rsidR="00280A54" w:rsidRPr="005E11F1" w14:paraId="1AD28CD9" w14:textId="77777777" w:rsidTr="006E4719">
        <w:tc>
          <w:tcPr>
            <w:tcW w:w="3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FB22" w14:textId="742CFE86" w:rsidR="00280A54" w:rsidRPr="006E4719" w:rsidDel="001F5189" w:rsidRDefault="0028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Title FR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1ECC" w14:textId="7315C733" w:rsidR="00280A54" w:rsidRPr="00DC2D58" w:rsidRDefault="0028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</w:rPr>
            </w:pPr>
            <w:r>
              <w:rPr>
                <w:iCs/>
              </w:rPr>
              <w:t>T</w:t>
            </w:r>
            <w:r w:rsidRPr="00DC2D58">
              <w:rPr>
                <w:iCs/>
              </w:rPr>
              <w:t>itle of this TEI</w:t>
            </w:r>
            <w:r>
              <w:rPr>
                <w:iCs/>
              </w:rPr>
              <w:t xml:space="preserve"> in French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2A9D" w14:textId="70AB3518" w:rsidR="00280A54" w:rsidRPr="005E11F1" w:rsidRDefault="00280A54" w:rsidP="00280A54">
            <w:pPr>
              <w:widowControl w:val="0"/>
              <w:spacing w:line="240" w:lineRule="auto"/>
              <w:rPr>
                <w:iCs/>
                <w:lang w:val="fr-BE"/>
              </w:rPr>
            </w:pPr>
            <w:r w:rsidRPr="005E11F1">
              <w:rPr>
                <w:iCs/>
                <w:lang w:val="fr-BE"/>
              </w:rPr>
              <w:t>Accord vert - Énergies renouvelables et énergie durable</w:t>
            </w:r>
          </w:p>
        </w:tc>
      </w:tr>
      <w:tr w:rsidR="00DC2D58" w14:paraId="790AF7C1" w14:textId="77777777" w:rsidTr="006E4719">
        <w:tc>
          <w:tcPr>
            <w:tcW w:w="3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52B8" w14:textId="31FAC527" w:rsidR="00DC2D58" w:rsidRPr="006E4719" w:rsidDel="00DC2D58" w:rsidRDefault="001F5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R</w:t>
            </w:r>
            <w:r w:rsidR="00DC2D58" w:rsidRPr="006E4719">
              <w:rPr>
                <w:b/>
                <w:iCs/>
              </w:rPr>
              <w:t>ecipient region</w:t>
            </w:r>
            <w:r w:rsidR="006E4719">
              <w:rPr>
                <w:b/>
                <w:iCs/>
              </w:rPr>
              <w:t>s</w:t>
            </w:r>
            <w:r w:rsidR="00DC2D58" w:rsidRPr="006E4719">
              <w:rPr>
                <w:b/>
                <w:iCs/>
              </w:rPr>
              <w:t>/countries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59E6" w14:textId="176EDC47" w:rsidR="00DC2D58" w:rsidRPr="00DC2D58" w:rsidDel="00DC2D58" w:rsidRDefault="00DC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</w:rPr>
            </w:pPr>
            <w:r w:rsidRPr="00DC2D58">
              <w:rPr>
                <w:iCs/>
              </w:rPr>
              <w:t>Recipient of this TEI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AC89" w14:textId="519B6AE4" w:rsidR="00DC2D58" w:rsidRPr="00DC2D58" w:rsidRDefault="00DC2D58">
            <w:pPr>
              <w:widowControl w:val="0"/>
              <w:spacing w:line="240" w:lineRule="auto"/>
              <w:rPr>
                <w:iCs/>
              </w:rPr>
            </w:pPr>
            <w:r w:rsidRPr="00DC2D58">
              <w:rPr>
                <w:iCs/>
              </w:rPr>
              <w:t>Madagascar</w:t>
            </w:r>
          </w:p>
        </w:tc>
      </w:tr>
    </w:tbl>
    <w:p w14:paraId="579693BA" w14:textId="0F209313" w:rsidR="00D8753B" w:rsidRDefault="00076037">
      <w:pPr>
        <w:pStyle w:val="Heading2"/>
      </w:pPr>
      <w:bookmarkStart w:id="7" w:name="_kanj55nq0y8s" w:colFirst="0" w:colLast="0"/>
      <w:bookmarkEnd w:id="7"/>
      <w:r>
        <w:br w:type="page"/>
      </w:r>
    </w:p>
    <w:p w14:paraId="46AE3C6F" w14:textId="77777777" w:rsidR="00D8753B" w:rsidRDefault="00076037">
      <w:pPr>
        <w:pStyle w:val="Heading2"/>
      </w:pPr>
      <w:bookmarkStart w:id="8" w:name="_fwt6o1u3waa" w:colFirst="0" w:colLast="0"/>
      <w:bookmarkEnd w:id="8"/>
      <w:r>
        <w:lastRenderedPageBreak/>
        <w:t>What data needs to be included in an IATI tag?</w:t>
      </w:r>
    </w:p>
    <w:p w14:paraId="25513D73" w14:textId="7A591D4A" w:rsidR="00D8753B" w:rsidRDefault="00076037">
      <w:r>
        <w:t>The tag is a dedicated field in the IATI standard.</w:t>
      </w:r>
    </w:p>
    <w:p w14:paraId="38AF376D" w14:textId="77777777" w:rsidR="00D8753B" w:rsidRDefault="00D8753B"/>
    <w:p w14:paraId="34EE117D" w14:textId="77777777" w:rsidR="00D8753B" w:rsidRDefault="00076037">
      <w:r>
        <w:t>To tag an activity as relevant to a TEI, the following should be included:</w:t>
      </w:r>
    </w:p>
    <w:p w14:paraId="2C21A76D" w14:textId="77777777" w:rsidR="00D8753B" w:rsidRDefault="00D8753B"/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8753B" w14:paraId="601E76D9" w14:textId="77777777">
        <w:tc>
          <w:tcPr>
            <w:tcW w:w="300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D139" w14:textId="77777777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field</w:t>
            </w:r>
          </w:p>
        </w:tc>
        <w:tc>
          <w:tcPr>
            <w:tcW w:w="300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3C44" w14:textId="77777777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300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43" w14:textId="77777777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Requirement</w:t>
            </w:r>
          </w:p>
        </w:tc>
      </w:tr>
      <w:tr w:rsidR="00D8753B" w14:paraId="6182930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39C1" w14:textId="77777777" w:rsidR="00D8753B" w:rsidRPr="0058416C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58416C">
              <w:rPr>
                <w:b/>
                <w:bCs/>
              </w:rPr>
              <w:t>Tag code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4933" w14:textId="3656924E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TEI0</w:t>
            </w:r>
            <w:r w:rsidR="00DC2D58">
              <w:t>48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0A2F" w14:textId="77777777" w:rsidR="00D8753B" w:rsidRPr="0058416C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8416C">
              <w:rPr>
                <w:bCs/>
              </w:rPr>
              <w:t>Required</w:t>
            </w:r>
          </w:p>
        </w:tc>
      </w:tr>
      <w:tr w:rsidR="00D8753B" w14:paraId="3434E38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3BBA" w14:textId="77777777" w:rsidR="00D8753B" w:rsidRPr="0058416C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58416C">
              <w:rPr>
                <w:b/>
                <w:bCs/>
              </w:rPr>
              <w:t>Tag vocabulary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3EE3" w14:textId="59A19610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(the likely vocabulary that will be reserved for the TEI</w:t>
            </w:r>
            <w:r w:rsidR="007114BB">
              <w:t>s</w:t>
            </w:r>
            <w:r>
              <w:t>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6F04" w14:textId="77777777" w:rsidR="00D8753B" w:rsidRPr="0058416C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8416C">
              <w:rPr>
                <w:bCs/>
              </w:rPr>
              <w:t>Required</w:t>
            </w:r>
          </w:p>
        </w:tc>
      </w:tr>
      <w:tr w:rsidR="00D8753B" w14:paraId="0E66C90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0A8E" w14:textId="32379081" w:rsidR="00D8753B" w:rsidRPr="0058416C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58416C">
              <w:rPr>
                <w:b/>
                <w:bCs/>
              </w:rPr>
              <w:t xml:space="preserve">Tag </w:t>
            </w:r>
            <w:r w:rsidR="00920E2E">
              <w:rPr>
                <w:b/>
                <w:bCs/>
              </w:rPr>
              <w:t>name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CDFE" w14:textId="59C544B3" w:rsidR="00D8753B" w:rsidRDefault="001F5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2D58">
              <w:rPr>
                <w:iCs/>
              </w:rPr>
              <w:t>Green Deal — Renewable energy and sustainable energy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4C08" w14:textId="77777777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Optional</w:t>
            </w:r>
          </w:p>
        </w:tc>
      </w:tr>
    </w:tbl>
    <w:p w14:paraId="183B6179" w14:textId="77777777" w:rsidR="00D8753B" w:rsidRDefault="00D8753B"/>
    <w:p w14:paraId="39171475" w14:textId="38BFD761" w:rsidR="00D8753B" w:rsidRDefault="00076037">
      <w:r>
        <w:t xml:space="preserve">In IATI data, organisations MUST include the </w:t>
      </w:r>
      <w:r>
        <w:rPr>
          <w:b/>
        </w:rPr>
        <w:t>code</w:t>
      </w:r>
      <w:r>
        <w:t xml:space="preserve"> and </w:t>
      </w:r>
      <w:r>
        <w:rPr>
          <w:b/>
        </w:rPr>
        <w:t>vocabulary</w:t>
      </w:r>
      <w:r>
        <w:t xml:space="preserve"> as a minimum, when using the tag field. It is not mandatory to include the name in IATI data, as the code in itself will support data users.</w:t>
      </w:r>
    </w:p>
    <w:p w14:paraId="45789A81" w14:textId="77777777" w:rsidR="00D8753B" w:rsidRDefault="00D8753B"/>
    <w:p w14:paraId="3ECC2413" w14:textId="77777777" w:rsidR="00D8753B" w:rsidRDefault="00076037">
      <w:pPr>
        <w:pStyle w:val="Heading2"/>
      </w:pPr>
      <w:bookmarkStart w:id="9" w:name="_h69b7qpvsg61" w:colFirst="0" w:colLast="0"/>
      <w:bookmarkEnd w:id="9"/>
      <w:r>
        <w:t>Accessing IATI activities with the TEI tag</w:t>
      </w:r>
    </w:p>
    <w:p w14:paraId="3890C53E" w14:textId="458018C7" w:rsidR="00D8753B" w:rsidRDefault="00076037">
      <w:r>
        <w:t xml:space="preserve">When the TEI </w:t>
      </w:r>
      <w:r w:rsidR="00EC44C1">
        <w:t xml:space="preserve">tag </w:t>
      </w:r>
      <w:r>
        <w:t>is added to IATI activities, there will be two main ways to search, identify and use this data.</w:t>
      </w:r>
    </w:p>
    <w:p w14:paraId="24EBBB49" w14:textId="77777777" w:rsidR="00D8753B" w:rsidRDefault="00D8753B"/>
    <w:p w14:paraId="027C983F" w14:textId="62ADD424" w:rsidR="00D8753B" w:rsidRDefault="00076037">
      <w:pPr>
        <w:numPr>
          <w:ilvl w:val="0"/>
          <w:numId w:val="2"/>
        </w:numPr>
      </w:pPr>
      <w:r>
        <w:t xml:space="preserve">Using d-portal. The advanced search function enables a filter by specific tag vocabularies - meaning the TEI vocabulary will be directly </w:t>
      </w:r>
      <w:r w:rsidR="003E3751">
        <w:t xml:space="preserve">part of the </w:t>
      </w:r>
      <w:r>
        <w:t>queries</w:t>
      </w:r>
    </w:p>
    <w:p w14:paraId="00E94943" w14:textId="77777777" w:rsidR="00D8753B" w:rsidRDefault="00076037">
      <w:pPr>
        <w:numPr>
          <w:ilvl w:val="0"/>
          <w:numId w:val="2"/>
        </w:numPr>
      </w:pPr>
      <w:r>
        <w:t>The IATI datastore also allows for direct query, for those needing the raw XML, or spreadsheet, formats</w:t>
      </w:r>
    </w:p>
    <w:p w14:paraId="10AC2E71" w14:textId="77777777" w:rsidR="00D8753B" w:rsidRDefault="00D8753B"/>
    <w:p w14:paraId="387E57C6" w14:textId="77777777" w:rsidR="00D8753B" w:rsidRDefault="00076037">
      <w:pPr>
        <w:pStyle w:val="Heading2"/>
      </w:pPr>
      <w:bookmarkStart w:id="10" w:name="_ursa2l8thsro" w:colFirst="0" w:colLast="0"/>
      <w:bookmarkEnd w:id="10"/>
      <w:r>
        <w:t>What happens when new TEIs are established?</w:t>
      </w:r>
    </w:p>
    <w:p w14:paraId="61FA0C85" w14:textId="7FE95E9D" w:rsidR="00D8753B" w:rsidRDefault="00076037">
      <w:r>
        <w:t xml:space="preserve">These will be added to the TEI code list in a timely </w:t>
      </w:r>
      <w:r w:rsidR="0026024C">
        <w:t>manner and</w:t>
      </w:r>
      <w:r>
        <w:t xml:space="preserve"> announced to all stakeholders.</w:t>
      </w:r>
    </w:p>
    <w:p w14:paraId="50BF2235" w14:textId="77777777" w:rsidR="00D8753B" w:rsidRDefault="00D8753B"/>
    <w:p w14:paraId="4F902791" w14:textId="77777777" w:rsidR="00D8753B" w:rsidRDefault="00076037">
      <w:pPr>
        <w:pStyle w:val="Heading2"/>
      </w:pPr>
      <w:bookmarkStart w:id="11" w:name="_h74266nssmdq" w:colFirst="0" w:colLast="0"/>
      <w:bookmarkEnd w:id="11"/>
      <w:r>
        <w:br w:type="page"/>
      </w:r>
    </w:p>
    <w:p w14:paraId="684AB71F" w14:textId="77777777" w:rsidR="00D8753B" w:rsidRDefault="00076037">
      <w:pPr>
        <w:pStyle w:val="Heading2"/>
      </w:pPr>
      <w:bookmarkStart w:id="12" w:name="_r71lr2n9g0s" w:colFirst="0" w:colLast="0"/>
      <w:bookmarkEnd w:id="12"/>
      <w:r>
        <w:lastRenderedPageBreak/>
        <w:t>Generic TEI code (TEI000)</w:t>
      </w:r>
    </w:p>
    <w:p w14:paraId="15600B1D" w14:textId="78BD2AB9" w:rsidR="00D8753B" w:rsidRDefault="00076037">
      <w:r>
        <w:t xml:space="preserve">Alongside the specific TEI codes for </w:t>
      </w:r>
      <w:r w:rsidR="003E3751">
        <w:t>individual TEIs</w:t>
      </w:r>
      <w:r>
        <w:t>, a generic TEI code - TEI000 - will also be available on the code list.</w:t>
      </w:r>
    </w:p>
    <w:p w14:paraId="20970BC3" w14:textId="77777777" w:rsidR="00D8753B" w:rsidRDefault="00D8753B"/>
    <w:p w14:paraId="6D3AEAD6" w14:textId="0809E937" w:rsidR="00D8753B" w:rsidRDefault="00076037" w:rsidP="00745D81">
      <w:r>
        <w:t xml:space="preserve">This code should be used </w:t>
      </w:r>
      <w:r w:rsidR="003E3751">
        <w:t>w</w:t>
      </w:r>
      <w:r>
        <w:t xml:space="preserve">hen </w:t>
      </w:r>
      <w:r w:rsidR="003E3751">
        <w:t>a T</w:t>
      </w:r>
      <w:r w:rsidR="00C31D9B">
        <w:t xml:space="preserve">eam </w:t>
      </w:r>
      <w:r w:rsidR="003E3751">
        <w:t>E</w:t>
      </w:r>
      <w:r w:rsidR="00C31D9B">
        <w:t>urope</w:t>
      </w:r>
      <w:r w:rsidR="003E3751">
        <w:t xml:space="preserve"> reporter’s</w:t>
      </w:r>
      <w:r>
        <w:t xml:space="preserve"> system or process producing the IATI data cannot support different values</w:t>
      </w:r>
      <w:r w:rsidR="003E3751">
        <w:t xml:space="preserve"> or when they prefer for another reason </w:t>
      </w:r>
      <w:r w:rsidR="00E4507C">
        <w:t xml:space="preserve">to keep their </w:t>
      </w:r>
      <w:r w:rsidR="00C31A97">
        <w:t xml:space="preserve">TEI </w:t>
      </w:r>
      <w:r w:rsidR="00E4507C">
        <w:t xml:space="preserve">reporting </w:t>
      </w:r>
      <w:r w:rsidR="00C31A97">
        <w:t xml:space="preserve">overall or their reporting on a </w:t>
      </w:r>
      <w:r w:rsidR="00DD3A1F">
        <w:t>given</w:t>
      </w:r>
      <w:r w:rsidR="00C31A97">
        <w:t xml:space="preserve"> activity </w:t>
      </w:r>
      <w:r w:rsidR="00E4507C">
        <w:t>more general</w:t>
      </w:r>
      <w:r w:rsidR="003E3751">
        <w:t>.</w:t>
      </w:r>
    </w:p>
    <w:p w14:paraId="0DD6C2E3" w14:textId="77777777" w:rsidR="00D8753B" w:rsidRDefault="00D8753B"/>
    <w:p w14:paraId="02FF3371" w14:textId="77777777" w:rsidR="00D8753B" w:rsidRDefault="00076037">
      <w:pPr>
        <w:pStyle w:val="Heading2"/>
      </w:pPr>
      <w:bookmarkStart w:id="13" w:name="_u0qakebmlho7" w:colFirst="0" w:colLast="0"/>
      <w:bookmarkEnd w:id="13"/>
      <w:r>
        <w:t>Multiple TEIs for one IATI activity</w:t>
      </w:r>
    </w:p>
    <w:p w14:paraId="136539A4" w14:textId="08F37879" w:rsidR="00D8753B" w:rsidRDefault="00076037">
      <w:r>
        <w:t xml:space="preserve">In some cases, it may be relevant that a single IATI activity is applicable to more than one TEI. </w:t>
      </w:r>
      <w:r w:rsidR="00745D81">
        <w:t xml:space="preserve">In those cases, in order to avoid double-counting of contributions to TEIs, organisations should still only report one TEI code in the tag field – this can be the code </w:t>
      </w:r>
      <w:r w:rsidR="008650A1">
        <w:t>of</w:t>
      </w:r>
      <w:r w:rsidR="00745D81">
        <w:t xml:space="preserve"> the most relevant TEI or the generic TEI code. I</w:t>
      </w:r>
      <w:r w:rsidR="008650A1">
        <w:t>f they would like</w:t>
      </w:r>
      <w:r w:rsidR="00745D81">
        <w:t xml:space="preserve"> to </w:t>
      </w:r>
      <w:r w:rsidR="008650A1">
        <w:t xml:space="preserve">mention the codes of all the specific TEIs that this activity is contributing to, the organisations can optionally enter the relevant information </w:t>
      </w:r>
      <w:r w:rsidR="00C05577">
        <w:t xml:space="preserve">as free text </w:t>
      </w:r>
      <w:r w:rsidR="008650A1">
        <w:t>into</w:t>
      </w:r>
      <w:r w:rsidR="00745D81">
        <w:t xml:space="preserve"> </w:t>
      </w:r>
      <w:r w:rsidR="008650A1">
        <w:t>the activity description</w:t>
      </w:r>
      <w:r w:rsidR="00C05577">
        <w:t xml:space="preserve"> (see </w:t>
      </w:r>
      <w:r w:rsidR="00620981">
        <w:t xml:space="preserve">also </w:t>
      </w:r>
      <w:r w:rsidR="00C05577">
        <w:t>below)</w:t>
      </w:r>
      <w:r w:rsidR="008650A1">
        <w:t xml:space="preserve">. Another possibility applicable to more complex IATI activities would be to </w:t>
      </w:r>
      <w:r w:rsidR="00C05577">
        <w:t>break them down in the reporting in order to create one-to-one mappings between the IATI activities and the TEIs.</w:t>
      </w:r>
    </w:p>
    <w:p w14:paraId="2D60F5EA" w14:textId="77777777" w:rsidR="00D8753B" w:rsidRDefault="00D8753B"/>
    <w:p w14:paraId="7BC6D85D" w14:textId="77777777" w:rsidR="00D8753B" w:rsidRDefault="00076037">
      <w:pPr>
        <w:pStyle w:val="Heading2"/>
      </w:pPr>
      <w:bookmarkStart w:id="14" w:name="_8l5ol8eqrc2w" w:colFirst="0" w:colLast="0"/>
      <w:bookmarkEnd w:id="14"/>
      <w:r>
        <w:t>Adding a tag to a financial transaction</w:t>
      </w:r>
    </w:p>
    <w:p w14:paraId="16675722" w14:textId="79DBD949" w:rsidR="00D8753B" w:rsidRDefault="00076037">
      <w:r>
        <w:t>Currently, the tag field is only supported at the activity level in the IATI standard, meaning it cannot be applied to specific transactions.</w:t>
      </w:r>
    </w:p>
    <w:p w14:paraId="158663D5" w14:textId="77777777" w:rsidR="00D8753B" w:rsidRDefault="00D8753B"/>
    <w:p w14:paraId="5FB0A9DC" w14:textId="77777777" w:rsidR="00D8753B" w:rsidRDefault="00076037">
      <w:pPr>
        <w:pStyle w:val="Heading2"/>
      </w:pPr>
      <w:bookmarkStart w:id="15" w:name="_ggpno1svh5i8" w:colFirst="0" w:colLast="0"/>
      <w:bookmarkEnd w:id="15"/>
      <w:r>
        <w:t>Supplementing with free text</w:t>
      </w:r>
    </w:p>
    <w:p w14:paraId="177141B4" w14:textId="65846073" w:rsidR="00D8753B" w:rsidRDefault="00076037">
      <w:r>
        <w:t xml:space="preserve">It is also </w:t>
      </w:r>
      <w:r>
        <w:rPr>
          <w:i/>
        </w:rPr>
        <w:t>encouraged</w:t>
      </w:r>
      <w:r>
        <w:t xml:space="preserve"> that Team Europe </w:t>
      </w:r>
      <w:r w:rsidR="000B4A0A">
        <w:t xml:space="preserve">reporters </w:t>
      </w:r>
      <w:r>
        <w:t>use the narrative fields in any IATI activity to expand up</w:t>
      </w:r>
      <w:r w:rsidR="000B4A0A">
        <w:t>on</w:t>
      </w:r>
      <w:r>
        <w:t xml:space="preserve"> and explain the relationship with any TEIs. These include:</w:t>
      </w:r>
    </w:p>
    <w:p w14:paraId="6EF255A1" w14:textId="77777777" w:rsidR="00D8753B" w:rsidRDefault="00D8753B"/>
    <w:p w14:paraId="61CBE704" w14:textId="77777777" w:rsidR="00D8753B" w:rsidRDefault="00076037">
      <w:pPr>
        <w:numPr>
          <w:ilvl w:val="0"/>
          <w:numId w:val="1"/>
        </w:numPr>
      </w:pPr>
      <w:r>
        <w:t>Activity title</w:t>
      </w:r>
    </w:p>
    <w:p w14:paraId="666A6316" w14:textId="77777777" w:rsidR="00D8753B" w:rsidRDefault="00076037">
      <w:pPr>
        <w:numPr>
          <w:ilvl w:val="0"/>
          <w:numId w:val="1"/>
        </w:numPr>
      </w:pPr>
      <w:r>
        <w:t>Activity description</w:t>
      </w:r>
    </w:p>
    <w:p w14:paraId="1A682CA5" w14:textId="77777777" w:rsidR="00D8753B" w:rsidRDefault="00076037">
      <w:pPr>
        <w:numPr>
          <w:ilvl w:val="0"/>
          <w:numId w:val="1"/>
        </w:numPr>
      </w:pPr>
      <w:r>
        <w:t>Transaction description</w:t>
      </w:r>
    </w:p>
    <w:p w14:paraId="29856DC4" w14:textId="77777777" w:rsidR="00D8753B" w:rsidRDefault="00D8753B"/>
    <w:p w14:paraId="7ED0B80A" w14:textId="17388FFF" w:rsidR="00D8753B" w:rsidRDefault="00076037">
      <w:r>
        <w:t>Adding this information will support Team Europe colleagues to understand in more detail the relationship between the IATI activit</w:t>
      </w:r>
      <w:r w:rsidR="00DD3A1F">
        <w:t>ies</w:t>
      </w:r>
      <w:r>
        <w:t xml:space="preserve"> and </w:t>
      </w:r>
      <w:r w:rsidR="00DD3A1F">
        <w:t xml:space="preserve">the </w:t>
      </w:r>
      <w:r>
        <w:t>TEIs. However, this MUST always be supported through use of the tag field, to make the formal linkage.</w:t>
      </w:r>
      <w:r>
        <w:br w:type="page"/>
      </w:r>
    </w:p>
    <w:p w14:paraId="28314E8C" w14:textId="77777777" w:rsidR="00D8753B" w:rsidRDefault="00076037">
      <w:pPr>
        <w:pStyle w:val="Heading1"/>
      </w:pPr>
      <w:bookmarkStart w:id="16" w:name="_8g1wot2rah8g" w:colFirst="0" w:colLast="0"/>
      <w:bookmarkEnd w:id="16"/>
      <w:r>
        <w:lastRenderedPageBreak/>
        <w:t>Technical guidance</w:t>
      </w:r>
    </w:p>
    <w:p w14:paraId="069F0E87" w14:textId="77777777" w:rsidR="00D8753B" w:rsidRDefault="00D8753B"/>
    <w:p w14:paraId="1EFD1754" w14:textId="38AEC0C9" w:rsidR="00D8753B" w:rsidRDefault="00076037">
      <w:r>
        <w:t>Using the IATI tag element for Team Europe Initiative (TEI) flagging</w:t>
      </w:r>
    </w:p>
    <w:p w14:paraId="6E74B386" w14:textId="77777777" w:rsidR="00D8753B" w:rsidRDefault="00D8753B"/>
    <w:p w14:paraId="0E181CDC" w14:textId="77777777" w:rsidR="00D8753B" w:rsidRDefault="00076037">
      <w:pPr>
        <w:pStyle w:val="Heading2"/>
      </w:pPr>
      <w:bookmarkStart w:id="17" w:name="_7r0glz7wmr3q" w:colFirst="0" w:colLast="0"/>
      <w:bookmarkEnd w:id="17"/>
      <w:r>
        <w:t>IATI tag elements and attributes</w:t>
      </w:r>
    </w:p>
    <w:p w14:paraId="4E17DD17" w14:textId="77777777" w:rsidR="00D8753B" w:rsidRDefault="00076037">
      <w:r>
        <w:t>In using the tag element in IATI XML, the code and vocabulary attributes must be present.</w:t>
      </w:r>
    </w:p>
    <w:p w14:paraId="0489ABE7" w14:textId="77777777" w:rsidR="00D8753B" w:rsidRDefault="00D8753B"/>
    <w:p w14:paraId="309469A7" w14:textId="77777777" w:rsidR="00D8753B" w:rsidRDefault="00076037">
      <w:r>
        <w:t>In the IATI format - XML - this would be:</w:t>
      </w:r>
    </w:p>
    <w:p w14:paraId="48A5F001" w14:textId="77777777" w:rsidR="00D8753B" w:rsidRDefault="00D8753B"/>
    <w:tbl>
      <w:tblPr>
        <w:tblStyle w:val="a2"/>
        <w:tblW w:w="0" w:type="auto"/>
        <w:tblLayout w:type="fixed"/>
        <w:tblLook w:val="0600" w:firstRow="0" w:lastRow="0" w:firstColumn="0" w:lastColumn="0" w:noHBand="1" w:noVBand="1"/>
      </w:tblPr>
      <w:tblGrid>
        <w:gridCol w:w="9029"/>
      </w:tblGrid>
      <w:tr w:rsidR="00D8753B" w14:paraId="774D2352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2304" w14:textId="5680CB4F" w:rsidR="00D8753B" w:rsidRDefault="00076037">
            <w:pPr>
              <w:widowControl w:val="0"/>
              <w:rPr>
                <w:rFonts w:ascii="Consolas" w:eastAsia="Consolas" w:hAnsi="Consolas" w:cs="Consolas"/>
                <w:color w:val="434F54"/>
                <w:highlight w:val="white"/>
              </w:rPr>
            </w:pP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&lt;</w:t>
            </w:r>
            <w:r>
              <w:rPr>
                <w:rFonts w:ascii="Consolas" w:eastAsia="Consolas" w:hAnsi="Consolas" w:cs="Consolas"/>
                <w:b/>
                <w:color w:val="62C8F3"/>
                <w:shd w:val="clear" w:color="auto" w:fill="333333"/>
              </w:rPr>
              <w:t>tag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code=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"TEI0</w:t>
            </w:r>
            <w:r w:rsidR="00851D30"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48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vocabulary=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"4"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/&gt;</w:t>
            </w:r>
          </w:p>
        </w:tc>
      </w:tr>
    </w:tbl>
    <w:p w14:paraId="6550FCF1" w14:textId="77777777" w:rsidR="00D8753B" w:rsidRDefault="00D8753B">
      <w:pPr>
        <w:widowControl w:val="0"/>
        <w:rPr>
          <w:rFonts w:ascii="Consolas" w:eastAsia="Consolas" w:hAnsi="Consolas" w:cs="Consolas"/>
          <w:color w:val="434F54"/>
          <w:highlight w:val="white"/>
        </w:rPr>
      </w:pPr>
    </w:p>
    <w:p w14:paraId="6F04A900" w14:textId="2CF2567C" w:rsidR="00D8753B" w:rsidRDefault="00076037">
      <w:r>
        <w:t>The narrative sub-element</w:t>
      </w:r>
      <w:r w:rsidR="005C2A13">
        <w:t xml:space="preserve">, i.e. the </w:t>
      </w:r>
      <w:r w:rsidR="00CF3097">
        <w:t xml:space="preserve">tag </w:t>
      </w:r>
      <w:r w:rsidR="005C2A13">
        <w:t>name,</w:t>
      </w:r>
      <w:r>
        <w:t xml:space="preserve"> is optional, and is not required to transmit any meaning, as the TEI code list will carry such information. However, this can also be included:</w:t>
      </w:r>
    </w:p>
    <w:p w14:paraId="20D46415" w14:textId="77777777" w:rsidR="00D8753B" w:rsidRDefault="00D8753B">
      <w:pPr>
        <w:widowControl w:val="0"/>
        <w:rPr>
          <w:rFonts w:ascii="Consolas" w:eastAsia="Consolas" w:hAnsi="Consolas" w:cs="Consolas"/>
          <w:color w:val="434F54"/>
          <w:highlight w:val="white"/>
        </w:rPr>
      </w:pPr>
    </w:p>
    <w:tbl>
      <w:tblPr>
        <w:tblStyle w:val="a3"/>
        <w:tblW w:w="0" w:type="auto"/>
        <w:tblLayout w:type="fixed"/>
        <w:tblLook w:val="0600" w:firstRow="0" w:lastRow="0" w:firstColumn="0" w:lastColumn="0" w:noHBand="1" w:noVBand="1"/>
      </w:tblPr>
      <w:tblGrid>
        <w:gridCol w:w="9029"/>
      </w:tblGrid>
      <w:tr w:rsidR="00D8753B" w14:paraId="7AFB3257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2F81" w14:textId="2B096F8D" w:rsidR="00D8753B" w:rsidRDefault="00076037">
            <w:pPr>
              <w:widowControl w:val="0"/>
            </w:pP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&lt;</w:t>
            </w:r>
            <w:r>
              <w:rPr>
                <w:rFonts w:ascii="Consolas" w:eastAsia="Consolas" w:hAnsi="Consolas" w:cs="Consolas"/>
                <w:b/>
                <w:color w:val="62C8F3"/>
                <w:shd w:val="clear" w:color="auto" w:fill="333333"/>
              </w:rPr>
              <w:t>tag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code=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"TEI0</w:t>
            </w:r>
            <w:r w:rsidR="00851D30"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48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vocabulary=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"4"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&gt;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&lt;</w:t>
            </w:r>
            <w:r>
              <w:rPr>
                <w:rFonts w:ascii="Consolas" w:eastAsia="Consolas" w:hAnsi="Consolas" w:cs="Consolas"/>
                <w:b/>
                <w:color w:val="62C8F3"/>
                <w:shd w:val="clear" w:color="auto" w:fill="333333"/>
              </w:rPr>
              <w:t>narrative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&gt;</w:t>
            </w:r>
            <w:r w:rsidR="00851D30"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Madagascar Green Deal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&lt;/</w:t>
            </w:r>
            <w:r>
              <w:rPr>
                <w:rFonts w:ascii="Consolas" w:eastAsia="Consolas" w:hAnsi="Consolas" w:cs="Consolas"/>
                <w:b/>
                <w:color w:val="62C8F3"/>
                <w:shd w:val="clear" w:color="auto" w:fill="333333"/>
              </w:rPr>
              <w:t>narrative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&gt;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&lt;/</w:t>
            </w:r>
            <w:r>
              <w:rPr>
                <w:rFonts w:ascii="Consolas" w:eastAsia="Consolas" w:hAnsi="Consolas" w:cs="Consolas"/>
                <w:b/>
                <w:color w:val="62C8F3"/>
                <w:shd w:val="clear" w:color="auto" w:fill="333333"/>
              </w:rPr>
              <w:t>tag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&gt;</w:t>
            </w:r>
          </w:p>
        </w:tc>
      </w:tr>
    </w:tbl>
    <w:p w14:paraId="11C72294" w14:textId="77777777" w:rsidR="00D8753B" w:rsidRDefault="00D8753B">
      <w:pPr>
        <w:widowControl w:val="0"/>
        <w:rPr>
          <w:rFonts w:ascii="Consolas" w:eastAsia="Consolas" w:hAnsi="Consolas" w:cs="Consolas"/>
          <w:color w:val="434F54"/>
          <w:highlight w:val="white"/>
        </w:rPr>
      </w:pPr>
    </w:p>
    <w:p w14:paraId="1F863BB1" w14:textId="77777777" w:rsidR="00D8753B" w:rsidRDefault="00076037">
      <w:pPr>
        <w:pStyle w:val="Heading2"/>
      </w:pPr>
      <w:bookmarkStart w:id="18" w:name="_wjnmtvh90xwe" w:colFirst="0" w:colLast="0"/>
      <w:bookmarkEnd w:id="18"/>
      <w:r>
        <w:t>Usage</w:t>
      </w:r>
    </w:p>
    <w:p w14:paraId="7893FC1B" w14:textId="715BFA9C" w:rsidR="00D8753B" w:rsidRDefault="00076037">
      <w:pPr>
        <w:widowControl w:val="0"/>
      </w:pPr>
      <w:r>
        <w:t xml:space="preserve">The </w:t>
      </w:r>
      <w:r w:rsidR="009005BF">
        <w:t xml:space="preserve">TEI </w:t>
      </w:r>
      <w:r>
        <w:t>tag element can be used alongside other vocabularies</w:t>
      </w:r>
      <w:r w:rsidR="009005BF">
        <w:t>.</w:t>
      </w:r>
    </w:p>
    <w:p w14:paraId="603B9CF4" w14:textId="77777777" w:rsidR="00D8753B" w:rsidRDefault="00D8753B">
      <w:pPr>
        <w:widowControl w:val="0"/>
      </w:pPr>
    </w:p>
    <w:p w14:paraId="6A01344D" w14:textId="21B41FCE" w:rsidR="00D8753B" w:rsidRDefault="00076037">
      <w:pPr>
        <w:widowControl w:val="0"/>
      </w:pPr>
      <w:r>
        <w:t>Example of an IATI activity with both TEI and UN Sustainable Development Goals (SDG) tags</w:t>
      </w:r>
      <w:r w:rsidR="009005BF">
        <w:t xml:space="preserve"> (n</w:t>
      </w:r>
      <w:r>
        <w:t>ote</w:t>
      </w:r>
      <w:r w:rsidR="009005BF">
        <w:t xml:space="preserve"> that</w:t>
      </w:r>
      <w:r>
        <w:t xml:space="preserve"> the vocabulary numbering does not imply ordering</w:t>
      </w:r>
      <w:r w:rsidR="009005BF">
        <w:t>):</w:t>
      </w:r>
    </w:p>
    <w:p w14:paraId="4B404AE2" w14:textId="77777777" w:rsidR="00D8753B" w:rsidRDefault="00D8753B">
      <w:pPr>
        <w:widowControl w:val="0"/>
        <w:rPr>
          <w:rFonts w:ascii="Consolas" w:eastAsia="Consolas" w:hAnsi="Consolas" w:cs="Consolas"/>
          <w:color w:val="434F54"/>
          <w:highlight w:val="white"/>
        </w:rPr>
      </w:pPr>
    </w:p>
    <w:tbl>
      <w:tblPr>
        <w:tblStyle w:val="a5"/>
        <w:tblW w:w="0" w:type="auto"/>
        <w:tblLayout w:type="fixed"/>
        <w:tblLook w:val="0600" w:firstRow="0" w:lastRow="0" w:firstColumn="0" w:lastColumn="0" w:noHBand="1" w:noVBand="1"/>
      </w:tblPr>
      <w:tblGrid>
        <w:gridCol w:w="9029"/>
      </w:tblGrid>
      <w:tr w:rsidR="00D8753B" w14:paraId="2DC874B4" w14:textId="77777777">
        <w:tc>
          <w:tcPr>
            <w:tcW w:w="9029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A2EE" w14:textId="035DB0E0" w:rsidR="00D8753B" w:rsidRDefault="000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62C8F3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&lt;</w:t>
            </w:r>
            <w:r>
              <w:rPr>
                <w:rFonts w:ascii="Consolas" w:eastAsia="Consolas" w:hAnsi="Consolas" w:cs="Consolas"/>
                <w:b/>
                <w:color w:val="62C8F3"/>
                <w:shd w:val="clear" w:color="auto" w:fill="333333"/>
              </w:rPr>
              <w:t>tag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code=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"TEI0</w:t>
            </w:r>
            <w:r w:rsidR="00851D30"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48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vocabulary=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"4"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/&gt;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>&lt;</w:t>
            </w:r>
            <w:r>
              <w:rPr>
                <w:rFonts w:ascii="Consolas" w:eastAsia="Consolas" w:hAnsi="Consolas" w:cs="Consolas"/>
                <w:b/>
                <w:color w:val="62C8F3"/>
                <w:shd w:val="clear" w:color="auto" w:fill="333333"/>
              </w:rPr>
              <w:t>tag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code=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"10"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vocabulary=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"2"</w:t>
            </w:r>
            <w:r>
              <w:rPr>
                <w:rFonts w:ascii="Consolas" w:eastAsia="Consolas" w:hAnsi="Consolas" w:cs="Consolas"/>
                <w:color w:val="62C8F3"/>
                <w:shd w:val="clear" w:color="auto" w:fill="333333"/>
              </w:rPr>
              <w:t xml:space="preserve"> /&gt;</w:t>
            </w:r>
          </w:p>
        </w:tc>
      </w:tr>
    </w:tbl>
    <w:p w14:paraId="7E31FB1F" w14:textId="77777777" w:rsidR="00D8753B" w:rsidRDefault="00D8753B">
      <w:pPr>
        <w:widowControl w:val="0"/>
      </w:pPr>
    </w:p>
    <w:p w14:paraId="03B075D7" w14:textId="77777777" w:rsidR="00D8753B" w:rsidRDefault="00D8753B"/>
    <w:sectPr w:rsidR="00D8753B" w:rsidSect="006E4719"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72E6" w14:textId="77777777" w:rsidR="00E9327D" w:rsidRDefault="00076037">
      <w:pPr>
        <w:spacing w:line="240" w:lineRule="auto"/>
      </w:pPr>
      <w:r>
        <w:separator/>
      </w:r>
    </w:p>
  </w:endnote>
  <w:endnote w:type="continuationSeparator" w:id="0">
    <w:p w14:paraId="2A93E66A" w14:textId="77777777" w:rsidR="00E9327D" w:rsidRDefault="00076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D3C8" w14:textId="77777777" w:rsidR="00E9327D" w:rsidRDefault="00076037">
      <w:pPr>
        <w:spacing w:line="240" w:lineRule="auto"/>
      </w:pPr>
      <w:r>
        <w:separator/>
      </w:r>
    </w:p>
  </w:footnote>
  <w:footnote w:type="continuationSeparator" w:id="0">
    <w:p w14:paraId="759C3653" w14:textId="77777777" w:rsidR="00E9327D" w:rsidRDefault="00076037">
      <w:pPr>
        <w:spacing w:line="240" w:lineRule="auto"/>
      </w:pPr>
      <w:r>
        <w:continuationSeparator/>
      </w:r>
    </w:p>
  </w:footnote>
  <w:footnote w:id="1">
    <w:p w14:paraId="37BD2800" w14:textId="4DC6B611" w:rsidR="00434EA7" w:rsidRPr="00434EA7" w:rsidRDefault="00434EA7" w:rsidP="00076037">
      <w:pPr>
        <w:pStyle w:val="FootnoteText"/>
        <w:ind w:left="142" w:hanging="142"/>
        <w:rPr>
          <w:sz w:val="16"/>
          <w:szCs w:val="16"/>
        </w:rPr>
      </w:pPr>
      <w:r>
        <w:rPr>
          <w:rStyle w:val="FootnoteReference"/>
        </w:rPr>
        <w:footnoteRef/>
      </w:r>
      <w:r w:rsidRPr="00434EA7">
        <w:rPr>
          <w:sz w:val="16"/>
          <w:szCs w:val="16"/>
        </w:rPr>
        <w:t xml:space="preserve"> Team Europe consists of the European </w:t>
      </w:r>
      <w:r>
        <w:rPr>
          <w:sz w:val="16"/>
          <w:szCs w:val="16"/>
        </w:rPr>
        <w:t>Commission</w:t>
      </w:r>
      <w:r w:rsidRPr="00434EA7">
        <w:rPr>
          <w:sz w:val="16"/>
          <w:szCs w:val="16"/>
        </w:rPr>
        <w:t>, the EU Member States — including their implementing agencies and public development banks — as well as the European Investment Bank (EIB) and the European Bank for Reconstruction and Development (EBRD).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67C"/>
    <w:multiLevelType w:val="multilevel"/>
    <w:tmpl w:val="9F786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0500C"/>
    <w:multiLevelType w:val="multilevel"/>
    <w:tmpl w:val="646E5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6E5A31"/>
    <w:multiLevelType w:val="multilevel"/>
    <w:tmpl w:val="B0F2D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482F77"/>
    <w:multiLevelType w:val="multilevel"/>
    <w:tmpl w:val="39946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3661731">
    <w:abstractNumId w:val="3"/>
  </w:num>
  <w:num w:numId="2" w16cid:durableId="224679595">
    <w:abstractNumId w:val="0"/>
  </w:num>
  <w:num w:numId="3" w16cid:durableId="2055344907">
    <w:abstractNumId w:val="2"/>
  </w:num>
  <w:num w:numId="4" w16cid:durableId="142661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3B"/>
    <w:rsid w:val="00076037"/>
    <w:rsid w:val="000B4A0A"/>
    <w:rsid w:val="00193A50"/>
    <w:rsid w:val="001F5189"/>
    <w:rsid w:val="0026024C"/>
    <w:rsid w:val="00280A54"/>
    <w:rsid w:val="002A0255"/>
    <w:rsid w:val="00316184"/>
    <w:rsid w:val="00340E3D"/>
    <w:rsid w:val="003E2D88"/>
    <w:rsid w:val="003E3751"/>
    <w:rsid w:val="00434EA7"/>
    <w:rsid w:val="00481A71"/>
    <w:rsid w:val="00565AC9"/>
    <w:rsid w:val="0058416C"/>
    <w:rsid w:val="005C2A13"/>
    <w:rsid w:val="005E0137"/>
    <w:rsid w:val="005E11F1"/>
    <w:rsid w:val="00620981"/>
    <w:rsid w:val="006B7CC2"/>
    <w:rsid w:val="006E4719"/>
    <w:rsid w:val="007114BB"/>
    <w:rsid w:val="00745D81"/>
    <w:rsid w:val="007C2B71"/>
    <w:rsid w:val="007F7572"/>
    <w:rsid w:val="00851D30"/>
    <w:rsid w:val="008650A1"/>
    <w:rsid w:val="0087496D"/>
    <w:rsid w:val="009005BF"/>
    <w:rsid w:val="00905F4E"/>
    <w:rsid w:val="00920E2E"/>
    <w:rsid w:val="009361EC"/>
    <w:rsid w:val="00A0273C"/>
    <w:rsid w:val="00BA1C52"/>
    <w:rsid w:val="00BA73AE"/>
    <w:rsid w:val="00BB12FE"/>
    <w:rsid w:val="00C05577"/>
    <w:rsid w:val="00C31A97"/>
    <w:rsid w:val="00C31D9B"/>
    <w:rsid w:val="00CA50BE"/>
    <w:rsid w:val="00CF3097"/>
    <w:rsid w:val="00D31585"/>
    <w:rsid w:val="00D8753B"/>
    <w:rsid w:val="00DC2D58"/>
    <w:rsid w:val="00DD3A1F"/>
    <w:rsid w:val="00DE7830"/>
    <w:rsid w:val="00E4507C"/>
    <w:rsid w:val="00E6798D"/>
    <w:rsid w:val="00E9327D"/>
    <w:rsid w:val="00EA6E42"/>
    <w:rsid w:val="00EB079B"/>
    <w:rsid w:val="00EC44C1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38967"/>
  <w15:docId w15:val="{2820A8A3-5E24-475C-BD4E-4E944AA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4C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E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E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EA7"/>
    <w:rPr>
      <w:vertAlign w:val="superscript"/>
    </w:rPr>
  </w:style>
  <w:style w:type="paragraph" w:styleId="Revision">
    <w:name w:val="Revision"/>
    <w:hidden/>
    <w:uiPriority w:val="99"/>
    <w:semiHidden/>
    <w:rsid w:val="00340E3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lists.codeforiati.org/TagVocabul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18BE-0F63-49A5-B5BD-92C80146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1193</Words>
  <Characters>5993</Characters>
  <Application>Microsoft Office Word</Application>
  <DocSecurity>0</DocSecurity>
  <Lines>199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MULLER-BORCHERT Jennifer (INTPA)</dc:creator>
  <cp:lastModifiedBy>MULLER-BORCHERT Jennifer (INTPA)</cp:lastModifiedBy>
  <cp:revision>3</cp:revision>
  <dcterms:created xsi:type="dcterms:W3CDTF">2023-02-14T11:50:00Z</dcterms:created>
  <dcterms:modified xsi:type="dcterms:W3CDTF">2023-02-14T11:54:00Z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2022-12-01T21:33:37Z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d9044928-2306-4ff6-92ef-6d694d08e371</vt:lpwstr>
  </property>
  <property fmtid="{D5CDD505-2E9C-101B-9397-08002B2CF9AE}" pid="8" name="MSIP_Label_6bd9ddd1-4d20-43f6-abfa-fc3c07406f94_ContentBits">
    <vt:lpwstr>0</vt:lpwstr>
  </property>
</Properties>
</file>